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43401" w14:textId="77777777" w:rsidR="00FF51FC" w:rsidRDefault="00FF51FC"/>
    <w:tbl>
      <w:tblPr>
        <w:tblStyle w:val="TableGrid"/>
        <w:tblW w:w="0" w:type="auto"/>
        <w:tblLook w:val="04A0" w:firstRow="1" w:lastRow="0" w:firstColumn="1" w:lastColumn="0" w:noHBand="0" w:noVBand="1"/>
      </w:tblPr>
      <w:tblGrid>
        <w:gridCol w:w="6662"/>
        <w:gridCol w:w="6582"/>
      </w:tblGrid>
      <w:tr w:rsidR="00467CB6" w:rsidRPr="00467CB6" w14:paraId="4F16D762" w14:textId="77777777" w:rsidTr="00467CB6">
        <w:trPr>
          <w:trHeight w:val="536"/>
        </w:trPr>
        <w:tc>
          <w:tcPr>
            <w:tcW w:w="6662" w:type="dxa"/>
            <w:vAlign w:val="center"/>
          </w:tcPr>
          <w:p w14:paraId="7D63AFAB" w14:textId="67C777C2" w:rsidR="00467CB6" w:rsidRPr="00467CB6" w:rsidRDefault="00467CB6" w:rsidP="00467CB6">
            <w:pPr>
              <w:jc w:val="center"/>
              <w:rPr>
                <w:b/>
                <w:bCs/>
              </w:rPr>
            </w:pPr>
            <w:r w:rsidRPr="00467CB6">
              <w:rPr>
                <w:b/>
                <w:bCs/>
              </w:rPr>
              <w:t>Question</w:t>
            </w:r>
          </w:p>
        </w:tc>
        <w:tc>
          <w:tcPr>
            <w:tcW w:w="6582" w:type="dxa"/>
            <w:vAlign w:val="center"/>
          </w:tcPr>
          <w:p w14:paraId="74572AEE" w14:textId="07AFE264" w:rsidR="00467CB6" w:rsidRPr="00467CB6" w:rsidRDefault="00467CB6" w:rsidP="00467CB6">
            <w:pPr>
              <w:jc w:val="center"/>
              <w:rPr>
                <w:b/>
                <w:bCs/>
              </w:rPr>
            </w:pPr>
            <w:r w:rsidRPr="00467CB6">
              <w:rPr>
                <w:b/>
                <w:bCs/>
              </w:rPr>
              <w:t>Answer</w:t>
            </w:r>
          </w:p>
        </w:tc>
      </w:tr>
      <w:tr w:rsidR="00467CB6" w14:paraId="6E614EE4" w14:textId="77777777" w:rsidTr="00467CB6">
        <w:tc>
          <w:tcPr>
            <w:tcW w:w="6662" w:type="dxa"/>
          </w:tcPr>
          <w:p w14:paraId="6A494745" w14:textId="67A51D88" w:rsidR="00467CB6" w:rsidRDefault="00467CB6" w:rsidP="00467CB6">
            <w:pPr>
              <w:jc w:val="both"/>
            </w:pPr>
            <w:r w:rsidRPr="009677C8">
              <w:t>The contracting authority applied the wrong publication deadline under the applicable procurement rules. The tender was still genuinely competitive; the contract price appears market-conform. How should this case be classified?</w:t>
            </w:r>
          </w:p>
        </w:tc>
        <w:tc>
          <w:tcPr>
            <w:tcW w:w="6582" w:type="dxa"/>
          </w:tcPr>
          <w:p w14:paraId="18401B3A" w14:textId="057E2A94" w:rsidR="00467CB6" w:rsidRDefault="009879CE" w:rsidP="00467CB6">
            <w:pPr>
              <w:jc w:val="both"/>
            </w:pPr>
            <w:r>
              <w:t>Wrong publication deadline remains an irregularity even if the other procurement rules were applied</w:t>
            </w:r>
            <w:r w:rsidR="009C7C97">
              <w:t xml:space="preserve">, and </w:t>
            </w:r>
            <w:r w:rsidR="009C7C97">
              <w:t>will lead to financial corrections.</w:t>
            </w:r>
          </w:p>
        </w:tc>
      </w:tr>
      <w:tr w:rsidR="00467CB6" w14:paraId="12863392" w14:textId="77777777" w:rsidTr="00467CB6">
        <w:tc>
          <w:tcPr>
            <w:tcW w:w="6662" w:type="dxa"/>
          </w:tcPr>
          <w:p w14:paraId="2F0D5BF7" w14:textId="1827F660" w:rsidR="00467CB6" w:rsidRDefault="00467CB6" w:rsidP="00467CB6">
            <w:pPr>
              <w:jc w:val="both"/>
            </w:pPr>
            <w:r w:rsidRPr="009677C8">
              <w:t>A supplier offers a procurement officer a weekend trip in exchange for selecting that supplier in an EU-funded tender. The officer accepts the benefit and awards the contract accordingly. What is this?</w:t>
            </w:r>
          </w:p>
        </w:tc>
        <w:tc>
          <w:tcPr>
            <w:tcW w:w="6582" w:type="dxa"/>
          </w:tcPr>
          <w:p w14:paraId="2E8DD737" w14:textId="77C9870E" w:rsidR="00467CB6" w:rsidRDefault="009879CE" w:rsidP="00467CB6">
            <w:pPr>
              <w:jc w:val="both"/>
            </w:pPr>
            <w:r>
              <w:t xml:space="preserve">Accepting any personal benefits in exchange of awarding </w:t>
            </w:r>
            <w:proofErr w:type="spellStart"/>
            <w:r>
              <w:t>a</w:t>
            </w:r>
            <w:proofErr w:type="spellEnd"/>
            <w:r>
              <w:t xml:space="preserve"> contract </w:t>
            </w:r>
            <w:r w:rsidR="00467CB6">
              <w:t>is a corruption case.</w:t>
            </w:r>
          </w:p>
        </w:tc>
      </w:tr>
      <w:tr w:rsidR="00467CB6" w14:paraId="73DEB3D5" w14:textId="77777777" w:rsidTr="00467CB6">
        <w:tc>
          <w:tcPr>
            <w:tcW w:w="6662" w:type="dxa"/>
          </w:tcPr>
          <w:p w14:paraId="4825A0AA" w14:textId="19552702" w:rsidR="00467CB6" w:rsidRDefault="00467CB6" w:rsidP="00467CB6">
            <w:pPr>
              <w:jc w:val="both"/>
            </w:pPr>
            <w:r w:rsidRPr="009677C8">
              <w:t>During the audit, the travel costs appear unusually high but are fully supported with the documents, actually incurred, and linked to the approved action. How should this case be classified?</w:t>
            </w:r>
          </w:p>
        </w:tc>
        <w:tc>
          <w:tcPr>
            <w:tcW w:w="6582" w:type="dxa"/>
          </w:tcPr>
          <w:p w14:paraId="66916BBA" w14:textId="78616960" w:rsidR="00467CB6" w:rsidRDefault="00391A0C" w:rsidP="00467CB6">
            <w:pPr>
              <w:jc w:val="both"/>
            </w:pPr>
            <w:r>
              <w:t xml:space="preserve">As </w:t>
            </w:r>
            <w:r>
              <w:t xml:space="preserve">the costs </w:t>
            </w:r>
            <w:r w:rsidRPr="00346429">
              <w:t>are fully supported with the documents, actually incurred, and linked to the approved action</w:t>
            </w:r>
            <w:r>
              <w:t xml:space="preserve">, </w:t>
            </w:r>
            <w:r w:rsidR="00467CB6">
              <w:t>is not about an irregularity, corruption or a fraud</w:t>
            </w:r>
            <w:r>
              <w:t>.</w:t>
            </w:r>
          </w:p>
        </w:tc>
      </w:tr>
      <w:tr w:rsidR="00467CB6" w14:paraId="5BF4E479" w14:textId="77777777" w:rsidTr="00467CB6">
        <w:tc>
          <w:tcPr>
            <w:tcW w:w="6662" w:type="dxa"/>
          </w:tcPr>
          <w:p w14:paraId="1222204D" w14:textId="3CE98C23" w:rsidR="00467CB6" w:rsidRDefault="00467CB6" w:rsidP="00467CB6">
            <w:pPr>
              <w:jc w:val="both"/>
            </w:pPr>
            <w:r w:rsidRPr="009677C8">
              <w:t>A part of the reported working time was spent on the preparation of report that was not part of the approved action. Correspondence shows that the project manager was aware of this and argued that the tasks were “strategically linked” to the project.</w:t>
            </w:r>
            <w:r>
              <w:t xml:space="preserve"> How should this case be classified?</w:t>
            </w:r>
          </w:p>
        </w:tc>
        <w:tc>
          <w:tcPr>
            <w:tcW w:w="6582" w:type="dxa"/>
          </w:tcPr>
          <w:p w14:paraId="423DE7DD" w14:textId="616C8B1D" w:rsidR="00467CB6" w:rsidRDefault="00467CB6" w:rsidP="00467CB6">
            <w:pPr>
              <w:jc w:val="both"/>
            </w:pPr>
            <w:r>
              <w:t xml:space="preserve">The case can be classified as a fraud, because the time reported was spent for other activity than the approved action, and the project manager was aware about the situation and considered the tasks as </w:t>
            </w:r>
            <w:r w:rsidRPr="009677C8">
              <w:t>“strategically linked” to the project</w:t>
            </w:r>
            <w:r>
              <w:t>.</w:t>
            </w:r>
          </w:p>
        </w:tc>
      </w:tr>
      <w:tr w:rsidR="00467CB6" w14:paraId="25F2C077" w14:textId="77777777" w:rsidTr="00467CB6">
        <w:tc>
          <w:tcPr>
            <w:tcW w:w="6662" w:type="dxa"/>
          </w:tcPr>
          <w:p w14:paraId="2A9CF308" w14:textId="7BD65D1B" w:rsidR="00467CB6" w:rsidRDefault="00467CB6" w:rsidP="00467CB6">
            <w:pPr>
              <w:jc w:val="both"/>
            </w:pPr>
            <w:r w:rsidRPr="009677C8">
              <w:t>A contractor threatens to disclose damaging personal information about a project officer unless the officer approves inflated invoices.</w:t>
            </w:r>
            <w:r>
              <w:t xml:space="preserve"> How should this case be classified?</w:t>
            </w:r>
          </w:p>
        </w:tc>
        <w:tc>
          <w:tcPr>
            <w:tcW w:w="6582" w:type="dxa"/>
          </w:tcPr>
          <w:p w14:paraId="62244EE0" w14:textId="32D32161" w:rsidR="00467CB6" w:rsidRDefault="00467CB6" w:rsidP="00467CB6">
            <w:pPr>
              <w:jc w:val="both"/>
            </w:pPr>
            <w:r>
              <w:t>Even the personal gain is not direct, the case is to be classified as corruption.</w:t>
            </w:r>
          </w:p>
        </w:tc>
      </w:tr>
      <w:tr w:rsidR="00467CB6" w14:paraId="4C576137" w14:textId="77777777" w:rsidTr="00467CB6">
        <w:tc>
          <w:tcPr>
            <w:tcW w:w="6662" w:type="dxa"/>
          </w:tcPr>
          <w:p w14:paraId="730916DF" w14:textId="523AD800" w:rsidR="00467CB6" w:rsidRDefault="00467CB6" w:rsidP="00467CB6">
            <w:pPr>
              <w:jc w:val="both"/>
            </w:pPr>
            <w:r>
              <w:t>A National Authority wants to strengthen fraud prevention before a new call for projects is launched. Which action is most consistent with its tasks?</w:t>
            </w:r>
          </w:p>
        </w:tc>
        <w:tc>
          <w:tcPr>
            <w:tcW w:w="6582" w:type="dxa"/>
          </w:tcPr>
          <w:p w14:paraId="3EBF4F70" w14:textId="42F93B99" w:rsidR="00467CB6" w:rsidRDefault="00467CB6" w:rsidP="00467CB6">
            <w:pPr>
              <w:jc w:val="both"/>
            </w:pPr>
            <w:r>
              <w:t>In order to strengthen fraud prevention before a new call for projects is launched, the National Authority must ensure availability of information by publishing on its own website the relevant laws</w:t>
            </w:r>
            <w:r w:rsidRPr="00155DFB">
              <w:t>, programme documents, factsheets, information about trainings and training materials, etc</w:t>
            </w:r>
            <w:r>
              <w:t>.</w:t>
            </w:r>
          </w:p>
        </w:tc>
      </w:tr>
      <w:tr w:rsidR="00467CB6" w14:paraId="7859DCDA" w14:textId="77777777" w:rsidTr="00467CB6">
        <w:tc>
          <w:tcPr>
            <w:tcW w:w="6662" w:type="dxa"/>
          </w:tcPr>
          <w:p w14:paraId="05E6B7CF" w14:textId="4E314F23" w:rsidR="00467CB6" w:rsidRDefault="00467CB6" w:rsidP="00467CB6">
            <w:pPr>
              <w:jc w:val="both"/>
            </w:pPr>
            <w:r>
              <w:t>A programme is preparing the implementation phase of newly approved cross border cooperation projects. Which arrangement best reflects the capacity- building tasks?</w:t>
            </w:r>
          </w:p>
        </w:tc>
        <w:tc>
          <w:tcPr>
            <w:tcW w:w="6582" w:type="dxa"/>
          </w:tcPr>
          <w:p w14:paraId="7F2638B1" w14:textId="1B26AAFD" w:rsidR="00467CB6" w:rsidRDefault="00467CB6" w:rsidP="00467CB6">
            <w:pPr>
              <w:jc w:val="both"/>
            </w:pPr>
            <w:r>
              <w:t>The best arrangement for capacity building is organising training for beneficiaries and controllers before projects start and during implementation, and training event to also be delivered for staff of national institutions involved in programme implementation.</w:t>
            </w:r>
          </w:p>
        </w:tc>
      </w:tr>
      <w:tr w:rsidR="00467CB6" w14:paraId="308C3A7C" w14:textId="77777777" w:rsidTr="00467CB6">
        <w:tc>
          <w:tcPr>
            <w:tcW w:w="6662" w:type="dxa"/>
          </w:tcPr>
          <w:p w14:paraId="34180C64" w14:textId="7E80104A" w:rsidR="00467CB6" w:rsidRDefault="00467CB6" w:rsidP="00467CB6">
            <w:pPr>
              <w:jc w:val="both"/>
            </w:pPr>
            <w:r w:rsidRPr="009677C8">
              <w:t xml:space="preserve">A project officer is asked to assess an application submitted by a university where his spouse works in the finance department. He informs the programme bodies before the assessment starts and is removed from the evaluation process. </w:t>
            </w:r>
            <w:r>
              <w:t>What is the t</w:t>
            </w:r>
            <w:r w:rsidRPr="009677C8">
              <w:t>ype of C</w:t>
            </w:r>
            <w:r>
              <w:t>onflict of interest</w:t>
            </w:r>
            <w:r w:rsidRPr="009677C8">
              <w:t>?</w:t>
            </w:r>
          </w:p>
        </w:tc>
        <w:tc>
          <w:tcPr>
            <w:tcW w:w="6582" w:type="dxa"/>
          </w:tcPr>
          <w:p w14:paraId="19A02A87" w14:textId="58B395F3" w:rsidR="00467CB6" w:rsidRDefault="00467CB6" w:rsidP="00467CB6">
            <w:pPr>
              <w:jc w:val="both"/>
            </w:pPr>
            <w:r>
              <w:t>It is considered as a potential conflict of interest, because the project officer announced the link with the applicant before the assessment starts.</w:t>
            </w:r>
          </w:p>
        </w:tc>
      </w:tr>
      <w:tr w:rsidR="00467CB6" w14:paraId="270E0A17" w14:textId="77777777" w:rsidTr="00467CB6">
        <w:tc>
          <w:tcPr>
            <w:tcW w:w="6662" w:type="dxa"/>
          </w:tcPr>
          <w:p w14:paraId="1F4D4EB1" w14:textId="1D585DAF" w:rsidR="00467CB6" w:rsidRDefault="00467CB6" w:rsidP="00467CB6">
            <w:pPr>
              <w:jc w:val="both"/>
            </w:pPr>
            <w:r w:rsidRPr="009677C8">
              <w:t xml:space="preserve">A procurement officer in an Interreg NEXT project is involved in selecting an external service provider. Which situations may qualify as a conflict of interest? </w:t>
            </w:r>
          </w:p>
        </w:tc>
        <w:tc>
          <w:tcPr>
            <w:tcW w:w="6582" w:type="dxa"/>
          </w:tcPr>
          <w:p w14:paraId="6B5C2661" w14:textId="77777777" w:rsidR="00467CB6" w:rsidRDefault="00467CB6" w:rsidP="00467CB6">
            <w:pPr>
              <w:jc w:val="both"/>
            </w:pPr>
            <w:r>
              <w:t>In case the officer declares at the start of the procedure that one bidder is owned by her cousin and withdraws from the process there is a potential conflict of interest.</w:t>
            </w:r>
          </w:p>
          <w:p w14:paraId="73D0A9C6" w14:textId="20E5D78B" w:rsidR="00467CB6" w:rsidRDefault="00467CB6" w:rsidP="00467CB6">
            <w:pPr>
              <w:jc w:val="both"/>
            </w:pPr>
            <w:r>
              <w:t>In case that, after the contract is awarded, an auditor discovers that the selected company is owned the officer’s close friend, which had not been disclosed, there is a real conflict of interest.</w:t>
            </w:r>
          </w:p>
        </w:tc>
      </w:tr>
      <w:tr w:rsidR="00467CB6" w14:paraId="5462F50A" w14:textId="77777777" w:rsidTr="00467CB6">
        <w:tc>
          <w:tcPr>
            <w:tcW w:w="6662" w:type="dxa"/>
          </w:tcPr>
          <w:p w14:paraId="75E0E465" w14:textId="2061A549" w:rsidR="00467CB6" w:rsidRDefault="00467CB6" w:rsidP="00467CB6">
            <w:pPr>
              <w:jc w:val="both"/>
            </w:pPr>
            <w:r w:rsidRPr="009677C8">
              <w:t>A beneficiary discovers that it mistakenly included an ineligible invoice in its accounting records. It informs the MA before any authority detects the issue, and the amount concerned is above EUR 12,000. Should this case be reported in IMS?</w:t>
            </w:r>
          </w:p>
        </w:tc>
        <w:tc>
          <w:tcPr>
            <w:tcW w:w="6582" w:type="dxa"/>
          </w:tcPr>
          <w:p w14:paraId="4FA6FDC9" w14:textId="4C493949" w:rsidR="00467CB6" w:rsidRDefault="00467CB6" w:rsidP="00467CB6">
            <w:pPr>
              <w:jc w:val="both"/>
            </w:pPr>
            <w:r>
              <w:t>No, because the case was brought voluntarily to the attention of the Managing Authority before detection by any authority.</w:t>
            </w:r>
          </w:p>
        </w:tc>
      </w:tr>
      <w:tr w:rsidR="00467CB6" w14:paraId="0BC5285A" w14:textId="77777777" w:rsidTr="00467CB6">
        <w:tc>
          <w:tcPr>
            <w:tcW w:w="6662" w:type="dxa"/>
          </w:tcPr>
          <w:p w14:paraId="4ED5EF9E" w14:textId="22532C54" w:rsidR="00467CB6" w:rsidRDefault="00467CB6" w:rsidP="00467CB6">
            <w:pPr>
              <w:jc w:val="both"/>
            </w:pPr>
            <w:r w:rsidRPr="009677C8">
              <w:t>A Managing Authority issues a recovery order and sends it to the Lead Partner following an established irregularity. What is the next step?</w:t>
            </w:r>
          </w:p>
        </w:tc>
        <w:tc>
          <w:tcPr>
            <w:tcW w:w="6582" w:type="dxa"/>
          </w:tcPr>
          <w:p w14:paraId="005659F1" w14:textId="30AC38FC" w:rsidR="00467CB6" w:rsidRDefault="00467CB6" w:rsidP="00467CB6">
            <w:pPr>
              <w:jc w:val="both"/>
            </w:pPr>
            <w:r>
              <w:t>In this case, the concerned partner repays the amount in question to the Lead Partner, and the Lead Partner repays it to the Managing Authority.</w:t>
            </w:r>
          </w:p>
        </w:tc>
      </w:tr>
    </w:tbl>
    <w:p w14:paraId="580023D3" w14:textId="77777777" w:rsidR="009677C8" w:rsidRDefault="009677C8"/>
    <w:sectPr w:rsidR="009677C8" w:rsidSect="009677C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C8"/>
    <w:rsid w:val="00016A91"/>
    <w:rsid w:val="00017DC7"/>
    <w:rsid w:val="00155DFB"/>
    <w:rsid w:val="00346429"/>
    <w:rsid w:val="00391A0C"/>
    <w:rsid w:val="00404B9C"/>
    <w:rsid w:val="00467CB6"/>
    <w:rsid w:val="00484083"/>
    <w:rsid w:val="0059620E"/>
    <w:rsid w:val="00683707"/>
    <w:rsid w:val="009356A5"/>
    <w:rsid w:val="009677C8"/>
    <w:rsid w:val="009879CE"/>
    <w:rsid w:val="009C7C97"/>
    <w:rsid w:val="009E433A"/>
    <w:rsid w:val="00BB75D0"/>
    <w:rsid w:val="00DC1A5B"/>
    <w:rsid w:val="00E11D9A"/>
    <w:rsid w:val="00FA2340"/>
    <w:rsid w:val="00FF5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17CD"/>
  <w15:chartTrackingRefBased/>
  <w15:docId w15:val="{DFABF763-EA27-4C08-979D-74296729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7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7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7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7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7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7C8"/>
    <w:rPr>
      <w:rFonts w:eastAsiaTheme="majorEastAsia" w:cstheme="majorBidi"/>
      <w:color w:val="272727" w:themeColor="text1" w:themeTint="D8"/>
    </w:rPr>
  </w:style>
  <w:style w:type="paragraph" w:styleId="Title">
    <w:name w:val="Title"/>
    <w:basedOn w:val="Normal"/>
    <w:next w:val="Normal"/>
    <w:link w:val="TitleChar"/>
    <w:uiPriority w:val="10"/>
    <w:qFormat/>
    <w:rsid w:val="0096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7C8"/>
    <w:pPr>
      <w:spacing w:before="160"/>
      <w:jc w:val="center"/>
    </w:pPr>
    <w:rPr>
      <w:i/>
      <w:iCs/>
      <w:color w:val="404040" w:themeColor="text1" w:themeTint="BF"/>
    </w:rPr>
  </w:style>
  <w:style w:type="character" w:customStyle="1" w:styleId="QuoteChar">
    <w:name w:val="Quote Char"/>
    <w:basedOn w:val="DefaultParagraphFont"/>
    <w:link w:val="Quote"/>
    <w:uiPriority w:val="29"/>
    <w:rsid w:val="009677C8"/>
    <w:rPr>
      <w:i/>
      <w:iCs/>
      <w:color w:val="404040" w:themeColor="text1" w:themeTint="BF"/>
    </w:rPr>
  </w:style>
  <w:style w:type="paragraph" w:styleId="ListParagraph">
    <w:name w:val="List Paragraph"/>
    <w:basedOn w:val="Normal"/>
    <w:uiPriority w:val="34"/>
    <w:qFormat/>
    <w:rsid w:val="009677C8"/>
    <w:pPr>
      <w:ind w:left="720"/>
      <w:contextualSpacing/>
    </w:pPr>
  </w:style>
  <w:style w:type="character" w:styleId="IntenseEmphasis">
    <w:name w:val="Intense Emphasis"/>
    <w:basedOn w:val="DefaultParagraphFont"/>
    <w:uiPriority w:val="21"/>
    <w:qFormat/>
    <w:rsid w:val="009677C8"/>
    <w:rPr>
      <w:i/>
      <w:iCs/>
      <w:color w:val="2F5496" w:themeColor="accent1" w:themeShade="BF"/>
    </w:rPr>
  </w:style>
  <w:style w:type="paragraph" w:styleId="IntenseQuote">
    <w:name w:val="Intense Quote"/>
    <w:basedOn w:val="Normal"/>
    <w:next w:val="Normal"/>
    <w:link w:val="IntenseQuoteChar"/>
    <w:uiPriority w:val="30"/>
    <w:qFormat/>
    <w:rsid w:val="00967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77C8"/>
    <w:rPr>
      <w:i/>
      <w:iCs/>
      <w:color w:val="2F5496" w:themeColor="accent1" w:themeShade="BF"/>
    </w:rPr>
  </w:style>
  <w:style w:type="character" w:styleId="IntenseReference">
    <w:name w:val="Intense Reference"/>
    <w:basedOn w:val="DefaultParagraphFont"/>
    <w:uiPriority w:val="32"/>
    <w:qFormat/>
    <w:rsid w:val="009677C8"/>
    <w:rPr>
      <w:b/>
      <w:bCs/>
      <w:smallCaps/>
      <w:color w:val="2F5496" w:themeColor="accent1" w:themeShade="BF"/>
      <w:spacing w:val="5"/>
    </w:rPr>
  </w:style>
  <w:style w:type="table" w:styleId="TableGrid">
    <w:name w:val="Table Grid"/>
    <w:basedOn w:val="TableNormal"/>
    <w:uiPriority w:val="39"/>
    <w:rsid w:val="00967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631</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Nicula</dc:creator>
  <cp:keywords/>
  <dc:description/>
  <cp:lastModifiedBy>Adriana Nicula</cp:lastModifiedBy>
  <cp:revision>2</cp:revision>
  <dcterms:created xsi:type="dcterms:W3CDTF">2026-03-27T08:35:00Z</dcterms:created>
  <dcterms:modified xsi:type="dcterms:W3CDTF">2026-03-27T10:57:00Z</dcterms:modified>
</cp:coreProperties>
</file>